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6C0F4280" w:rsidP="6C0F4280" w:rsidRDefault="6C0F4280" w14:paraId="7B5912AE" w14:textId="76E5D8FF">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12404DED" w:rsidP="6C0F4280" w:rsidRDefault="12404DED" w14:paraId="420EC71C" w14:textId="3C4F1D23">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&lt;Organization&gt;</w:t>
      </w:r>
    </w:p>
    <w:p w:rsidR="12404DED" w:rsidP="6C0F4280" w:rsidRDefault="12404DED" w14:paraId="31D0EE6A" w14:textId="12217795">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12404DED" w:rsidP="6C0F4280" w:rsidRDefault="12404DED" w14:paraId="7295519C" w14:textId="50467ECB">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&lt;</w:t>
      </w:r>
      <w:r w:rsidRPr="6C0F4280" w:rsidR="6C0F4280">
        <w:rPr>
          <w:rFonts w:ascii="Calibri" w:hAnsi="Calibri" w:eastAsia="Calibri" w:cs="Calibri" w:asciiTheme="minorAscii" w:hAnsiTheme="minorAscii" w:eastAsiaTheme="minorAscii" w:cstheme="minorAscii"/>
          <w:b w:val="0"/>
          <w:bCs w:val="0"/>
          <w:i w:val="1"/>
          <w:iCs w:val="1"/>
          <w:caps w:val="0"/>
          <w:smallCaps w:val="0"/>
          <w:noProof w:val="0"/>
          <w:color w:val="000000" w:themeColor="text1" w:themeTint="FF" w:themeShade="FF"/>
          <w:sz w:val="24"/>
          <w:szCs w:val="24"/>
          <w:lang w:val="en-US"/>
        </w:rPr>
        <w:t>Project Name</w:t>
      </w:r>
      <w:r w:rsidRPr="6C0F4280" w:rsidR="6C0F42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&gt;</w:t>
      </w:r>
    </w:p>
    <w:p w:rsidR="12404DED" w:rsidP="6C0F4280" w:rsidRDefault="12404DED" w14:paraId="2E558AA8" w14:textId="2803A8B2">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
    <w:p w:rsidR="590FAF40" w:rsidP="6C0F4280" w:rsidRDefault="590FAF40" w14:paraId="06B56BBC" w14:textId="40D62676">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TPS Mid-Atlantic/US Territories Regional Subaward</w:t>
      </w:r>
    </w:p>
    <w:p w:rsidR="12404DED" w:rsidP="6C0F4280" w:rsidRDefault="12404DED" w14:paraId="0483D04B" w14:textId="4B4F582A">
      <w:pPr>
        <w:spacing w:after="0" w:line="240" w:lineRule="auto"/>
        <w:jc w:val="center"/>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t xml:space="preserve">Budget Justification </w:t>
      </w:r>
    </w:p>
    <w:p w:rsidR="12404DED" w:rsidP="6C0F4280" w:rsidRDefault="12404DED" w14:paraId="554C26F7" w14:textId="7C822293">
      <w:pPr>
        <w:pStyle w:val="Normal"/>
        <w:spacing w:after="0" w:line="240"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590FAF40" w:rsidP="72AD226C" w:rsidRDefault="590FAF40" w14:paraId="49A98CEC" w14:textId="1A956F64">
      <w:pPr>
        <w:pStyle w:val="Normal"/>
        <w:spacing w:after="0" w:line="240"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72AD226C" w:rsidR="72AD226C">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t>Your budget justification must align with your proposed budget. State each expense outlined in your budget and provide a clear justification for each line item. We encourage applicants to enter the information directly in this template. Applicants may delete instructions from justification submissions.</w:t>
      </w:r>
    </w:p>
    <w:p w:rsidR="590FAF40" w:rsidP="6C0F4280" w:rsidRDefault="590FAF40" w14:paraId="279AEC0C" w14:textId="563C45FE">
      <w:pPr>
        <w:pStyle w:val="Normal"/>
        <w:spacing w:after="0" w:line="240" w:lineRule="auto"/>
        <w:jc w:val="left"/>
        <w:rPr>
          <w:rFonts w:ascii="Calibri" w:hAnsi="Calibri" w:eastAsia="Calibri" w:cs="Calibri" w:asciiTheme="minorAscii" w:hAnsiTheme="minorAscii" w:eastAsiaTheme="minorAscii" w:cstheme="minorAscii"/>
          <w:b w:val="1"/>
          <w:bCs w:val="1"/>
          <w:i w:val="0"/>
          <w:iCs w:val="0"/>
          <w:caps w:val="0"/>
          <w:smallCaps w:val="0"/>
          <w:noProof w:val="0"/>
          <w:color w:val="000000" w:themeColor="text1" w:themeTint="FF" w:themeShade="FF"/>
          <w:sz w:val="24"/>
          <w:szCs w:val="24"/>
          <w:lang w:val="en-US"/>
        </w:rPr>
      </w:pPr>
    </w:p>
    <w:p w:rsidR="7A46A66C" w:rsidP="6C0F4280" w:rsidRDefault="7A46A66C" w14:paraId="42FDD78D" w14:textId="15FBF2A0">
      <w:pPr>
        <w:pStyle w:val="Normal"/>
        <w:spacing w:before="0" w:beforeAutospacing="off" w:after="0" w:afterAutospacing="off"/>
        <w:ind w:left="0"/>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Financial Contact Information</w:t>
      </w:r>
    </w:p>
    <w:p w:rsidR="590FAF40" w:rsidP="6C0F4280" w:rsidRDefault="590FAF40" w14:paraId="05C07496" w14:textId="5CEEB499">
      <w:pPr>
        <w:pStyle w:val="Normal"/>
        <w:ind w:left="0"/>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 xml:space="preserve">TPS Funds Requested </w:t>
      </w:r>
      <w:r w:rsidRPr="6C0F4280" w:rsidR="6C0F4280">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(maximum $25,000)</w:t>
      </w:r>
    </w:p>
    <w:p w:rsidR="6C0F4280" w:rsidP="6C0F4280" w:rsidRDefault="6C0F4280" w14:paraId="4D09499E" w14:textId="268F15F6">
      <w:pPr>
        <w:pStyle w:val="Normal"/>
        <w:ind w:left="0"/>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p>
    <w:p w:rsidR="6C0F4280" w:rsidP="6C0F4280" w:rsidRDefault="6C0F4280" w14:paraId="5840FD39" w14:textId="56613B5F">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Budget Justification</w:t>
      </w:r>
    </w:p>
    <w:p w:rsidR="590FAF40" w:rsidP="6C0F4280" w:rsidRDefault="590FAF40" w14:paraId="72638880" w14:textId="09CFF74A">
      <w:pPr>
        <w:pStyle w:val="Normal"/>
        <w:ind w:left="0"/>
        <w:jc w:val="left"/>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pPr>
      <w:r w:rsidRPr="6C0F4280" w:rsidR="6C0F4280">
        <w:rPr>
          <w:rFonts w:ascii="Calibri" w:hAnsi="Calibri" w:eastAsia="Calibri" w:cs="Calibri" w:asciiTheme="minorAscii" w:hAnsiTheme="minorAscii" w:eastAsiaTheme="minorAscii" w:cstheme="minorAscii"/>
          <w:b w:val="0"/>
          <w:bCs w:val="0"/>
          <w:noProof w:val="0"/>
          <w:color w:val="000000" w:themeColor="text1" w:themeTint="FF" w:themeShade="FF"/>
          <w:sz w:val="24"/>
          <w:szCs w:val="24"/>
          <w:lang w:val="en-US"/>
        </w:rPr>
        <w:t>Describe costs directly associated with implementing your proposed project. Provide detail showing how the itemized costs in each category (where relevant) were calculated. Only include costs directly associated with your grant proposal</w:t>
      </w:r>
    </w:p>
    <w:p w:rsidR="590FAF40" w:rsidP="6C0F4280" w:rsidRDefault="590FAF40" w14:paraId="698A6029" w14:textId="7773D66A">
      <w:pPr>
        <w:pStyle w:val="Normal"/>
        <w:ind/>
        <w:jc w:val="both"/>
        <w:rPr>
          <w:rFonts w:ascii="Calibri" w:hAnsi="Calibri" w:eastAsia="Calibri" w:cs="Calibri" w:asciiTheme="minorAscii" w:hAnsiTheme="minorAscii" w:eastAsiaTheme="minorAscii" w:cstheme="minorAscii"/>
          <w:sz w:val="24"/>
          <w:szCs w:val="24"/>
        </w:rPr>
      </w:pPr>
    </w:p>
    <w:p w:rsidR="590FAF40" w:rsidP="6C0F4280" w:rsidRDefault="590FAF40" w14:paraId="66B1C14E" w14:textId="67BA179A">
      <w:pPr>
        <w:pStyle w:val="ListParagraph"/>
        <w:numPr>
          <w:ilvl w:val="0"/>
          <w:numId w:val="13"/>
        </w:numPr>
        <w:ind/>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Staff salaries, wages, and fringe</w:t>
      </w:r>
    </w:p>
    <w:p w:rsidR="6C0F4280" w:rsidP="6C0F4280" w:rsidRDefault="6C0F4280" w14:paraId="4BD7BAA1" w14:textId="1FAE8FA6">
      <w:pPr>
        <w:ind w:left="0"/>
        <w:jc w:val="both"/>
        <w:rPr>
          <w:rFonts w:ascii="Calibri" w:hAnsi="Calibri" w:eastAsia="Calibri" w:cs="Calibri" w:asciiTheme="minorAscii" w:hAnsiTheme="minorAscii" w:eastAsiaTheme="minorAscii" w:cstheme="minorAscii"/>
          <w:b w:val="0"/>
          <w:bCs w:val="0"/>
          <w:sz w:val="24"/>
          <w:szCs w:val="24"/>
        </w:rPr>
      </w:pPr>
      <w:r w:rsidRPr="6C0F4280" w:rsidR="6C0F4280">
        <w:rPr>
          <w:rFonts w:ascii="Calibri" w:hAnsi="Calibri" w:eastAsia="Calibri" w:cs="Calibri" w:asciiTheme="minorAscii" w:hAnsiTheme="minorAscii" w:eastAsiaTheme="minorAscii" w:cstheme="minorAscii"/>
          <w:b w:val="0"/>
          <w:bCs w:val="0"/>
          <w:sz w:val="24"/>
          <w:szCs w:val="24"/>
        </w:rPr>
        <w:t xml:space="preserve">Include names/roles of personnel involved in the project; enter the base salary (annual compensation or hourly wage) and identify allocation of time each employee will devote to the project. Include benefits provided for key personnel, with fringe rate (if applicable). </w:t>
      </w:r>
    </w:p>
    <w:p w:rsidR="6C0F4280" w:rsidP="6C0F4280" w:rsidRDefault="6C0F4280" w14:paraId="131A1333" w14:textId="4643BF25">
      <w:pPr>
        <w:ind w:left="720"/>
        <w:jc w:val="both"/>
        <w:rPr>
          <w:rFonts w:ascii="Calibri" w:hAnsi="Calibri" w:eastAsia="Calibri" w:cs="Calibri" w:asciiTheme="minorAscii" w:hAnsiTheme="minorAscii" w:eastAsiaTheme="minorAscii" w:cstheme="minorAscii"/>
          <w:b w:val="1"/>
          <w:bCs w:val="1"/>
          <w:sz w:val="24"/>
          <w:szCs w:val="24"/>
        </w:rPr>
      </w:pPr>
    </w:p>
    <w:p w:rsidR="590FAF40" w:rsidP="6C0F4280" w:rsidRDefault="590FAF40" w14:paraId="0DC81337" w14:textId="7F1DB289">
      <w:pPr>
        <w:pStyle w:val="ListParagraph"/>
        <w:numPr>
          <w:ilvl w:val="0"/>
          <w:numId w:val="14"/>
        </w:numPr>
        <w:ind/>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Consultant services</w:t>
      </w:r>
    </w:p>
    <w:p w:rsidR="590FAF40" w:rsidP="6C0F4280" w:rsidRDefault="590FAF40" w14:paraId="7606617C" w14:textId="2A6A9A2F">
      <w:pPr>
        <w:suppressLineNumbers w:val="0"/>
        <w:spacing w:before="0" w:beforeAutospacing="off" w:after="0" w:afterAutospacing="off" w:line="240" w:lineRule="auto"/>
        <w:ind w:left="0" w:firstLine="0"/>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6C0F4280" w:rsidR="6C0F428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Fees for hired instructors (under contracts for work) to deliver specific program events or contractors providing professional and consulting services rendered by members of a particular profession who are not employees of your institution/organization. Travel costs </w:t>
      </w:r>
      <w:r w:rsidRPr="6C0F4280" w:rsidR="6C0F4280">
        <w:rPr>
          <w:rFonts w:ascii="Calibri" w:hAnsi="Calibri" w:eastAsia="Calibri" w:cs="Calibri" w:asciiTheme="minorAscii" w:hAnsiTheme="minorAscii" w:eastAsiaTheme="minorAscii" w:cstheme="minorAscii"/>
          <w:b w:val="0"/>
          <w:bCs w:val="0"/>
          <w:i w:val="1"/>
          <w:iCs w:val="1"/>
          <w:strike w:val="0"/>
          <w:dstrike w:val="0"/>
          <w:color w:val="000000" w:themeColor="text1" w:themeTint="FF" w:themeShade="FF"/>
          <w:sz w:val="24"/>
          <w:szCs w:val="24"/>
          <w:u w:val="none"/>
        </w:rPr>
        <w:t>for consultants only</w:t>
      </w:r>
      <w:r w:rsidRPr="6C0F4280" w:rsidR="6C0F428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are reported here.</w:t>
      </w:r>
    </w:p>
    <w:p w:rsidR="590FAF40" w:rsidP="6C0F4280" w:rsidRDefault="590FAF40" w14:paraId="45A85B7D" w14:textId="40967E37">
      <w:pPr>
        <w:suppressLineNumbers w:val="0"/>
        <w:spacing w:before="0" w:beforeAutospacing="off" w:after="0" w:afterAutospacing="off" w:line="240" w:lineRule="auto"/>
        <w:ind w:left="720" w:firstLine="0"/>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p w:rsidR="590FAF40" w:rsidP="6C0F4280" w:rsidRDefault="590FAF40" w14:paraId="024C3B22" w14:textId="684FD64F">
      <w:pPr>
        <w:pStyle w:val="ListParagraph"/>
        <w:numPr>
          <w:ilvl w:val="0"/>
          <w:numId w:val="15"/>
        </w:numPr>
        <w:suppressLineNumbers w:val="0"/>
        <w:spacing w:before="0" w:beforeAutospacing="off" w:after="0" w:afterAutospacing="off" w:line="240" w:lineRule="auto"/>
        <w:ind/>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Equipment</w:t>
      </w:r>
    </w:p>
    <w:p w:rsidR="590FAF40" w:rsidP="2C6A1E52" w:rsidRDefault="590FAF40" w14:paraId="4DC3FCAA" w14:textId="03FC81D9">
      <w:pPr>
        <w:suppressLineNumbers w:val="0"/>
        <w:spacing w:before="0" w:beforeAutospacing="off" w:after="0" w:afterAutospacing="off" w:line="240" w:lineRule="auto"/>
        <w:ind w:lef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2C6A1E52" w:rsidR="2C6A1E52">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Equipment that facilitates TPS program-specific activities. Please note that only materials that cost more than $10,000 per unit should be classified as equipment.</w:t>
      </w:r>
    </w:p>
    <w:p w:rsidR="590FAF40" w:rsidP="6C0F4280" w:rsidRDefault="590FAF40" w14:paraId="0BDE2625" w14:textId="683F31FE">
      <w:pPr>
        <w:suppressLineNumbers w:val="0"/>
        <w:spacing w:before="0" w:beforeAutospacing="off" w:after="0" w:afterAutospacing="off" w:line="240" w:lineRule="auto"/>
        <w:ind w:left="720"/>
        <w:jc w:val="both"/>
        <w:rPr>
          <w:rFonts w:ascii="Calibri" w:hAnsi="Calibri" w:eastAsia="Calibri" w:cs="Calibri" w:asciiTheme="minorAscii" w:hAnsiTheme="minorAscii" w:eastAsiaTheme="minorAscii" w:cstheme="minorAscii"/>
          <w:b w:val="1"/>
          <w:bCs w:val="1"/>
          <w:sz w:val="24"/>
          <w:szCs w:val="24"/>
        </w:rPr>
      </w:pPr>
    </w:p>
    <w:p w:rsidR="590FAF40" w:rsidP="6C0F4280" w:rsidRDefault="590FAF40" w14:paraId="482C3637" w14:textId="0E183894">
      <w:pPr>
        <w:pStyle w:val="ListParagraph"/>
        <w:numPr>
          <w:ilvl w:val="0"/>
          <w:numId w:val="16"/>
        </w:numPr>
        <w:suppressLineNumbers w:val="0"/>
        <w:spacing w:before="0" w:beforeAutospacing="off" w:after="0" w:afterAutospacing="off" w:line="240" w:lineRule="auto"/>
        <w:ind/>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Supplies and materials</w:t>
      </w:r>
    </w:p>
    <w:p w:rsidR="6C0F4280" w:rsidP="6C0F4280" w:rsidRDefault="6C0F4280" w14:paraId="2FEE83AF" w14:textId="569D094C">
      <w:pPr>
        <w:spacing w:before="0" w:beforeAutospacing="off" w:after="0" w:afterAutospacing="off"/>
        <w:ind w:firstLine="0"/>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6C0F4280" w:rsidR="6C0F428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Examples are handbooks, manuals, or other printouts distributed at conferences or trainings.</w:t>
      </w:r>
    </w:p>
    <w:p w:rsidR="6C0F4280" w:rsidP="6C0F4280" w:rsidRDefault="6C0F4280" w14:paraId="6C5A6817" w14:textId="28EDBE41">
      <w:pPr>
        <w:pStyle w:val="Normal"/>
        <w:suppressLineNumbers w:val="0"/>
        <w:bidi w:val="0"/>
        <w:spacing w:before="0" w:beforeAutospacing="off" w:after="0" w:afterAutospacing="off" w:line="240" w:lineRule="auto"/>
        <w:ind w:left="720" w:right="0"/>
        <w:jc w:val="both"/>
        <w:rPr>
          <w:rFonts w:ascii="Calibri" w:hAnsi="Calibri" w:eastAsia="Calibri" w:cs="Calibri" w:asciiTheme="minorAscii" w:hAnsiTheme="minorAscii" w:eastAsiaTheme="minorAscii" w:cstheme="minorAscii"/>
          <w:b w:val="1"/>
          <w:bCs w:val="1"/>
          <w:sz w:val="24"/>
          <w:szCs w:val="24"/>
        </w:rPr>
      </w:pPr>
    </w:p>
    <w:p w:rsidR="590FAF40" w:rsidP="6C0F4280" w:rsidRDefault="590FAF40" w14:paraId="0534215A" w14:textId="31004EB5">
      <w:pPr>
        <w:pStyle w:val="ListParagraph"/>
        <w:numPr>
          <w:ilvl w:val="0"/>
          <w:numId w:val="17"/>
        </w:numPr>
        <w:ind/>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Participant stipends</w:t>
      </w:r>
    </w:p>
    <w:p w:rsidR="6C0F4280" w:rsidP="6C0F4280" w:rsidRDefault="6C0F4280" w14:paraId="5622690E" w14:textId="44F45376">
      <w:pPr>
        <w:ind w:lef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6C0F4280" w:rsidR="6C0F428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Include stipends or honoraria for project participants.</w:t>
      </w:r>
    </w:p>
    <w:p w:rsidR="6C0F4280" w:rsidP="6C0F4280" w:rsidRDefault="6C0F4280" w14:paraId="2D950E51" w14:textId="4F9F903E">
      <w:pPr>
        <w:ind w:left="72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p w:rsidR="590FAF40" w:rsidP="6C0F4280" w:rsidRDefault="590FAF40" w14:paraId="3768D598" w14:textId="627CE22B">
      <w:pPr>
        <w:pStyle w:val="ListParagraph"/>
        <w:numPr>
          <w:ilvl w:val="0"/>
          <w:numId w:val="18"/>
        </w:numPr>
        <w:suppressLineNumbers w:val="0"/>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Facilities</w:t>
      </w:r>
    </w:p>
    <w:p w:rsidR="6C0F4280" w:rsidP="6C0F4280" w:rsidRDefault="6C0F4280" w14:paraId="5DCDCFF6" w14:textId="4444363F">
      <w:pPr>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6C0F4280" w:rsidR="6C0F428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Only rental fees are allowable.</w:t>
      </w:r>
    </w:p>
    <w:p w:rsidR="6C0F4280" w:rsidP="6C0F4280" w:rsidRDefault="6C0F4280" w14:paraId="1ADF3580" w14:textId="4E978BE9">
      <w:pPr>
        <w:spacing w:before="0" w:beforeAutospacing="off" w:after="0" w:afterAutospacing="off" w:line="240" w:lineRule="auto"/>
        <w:ind w:left="72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p>
    <w:p w:rsidR="590FAF40" w:rsidP="6C0F4280" w:rsidRDefault="590FAF40" w14:paraId="3AA09A95" w14:textId="61B4D9B3">
      <w:pPr>
        <w:pStyle w:val="ListParagraph"/>
        <w:numPr>
          <w:ilvl w:val="0"/>
          <w:numId w:val="19"/>
        </w:numPr>
        <w:suppressLineNumbers w:val="0"/>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Travel</w:t>
      </w:r>
    </w:p>
    <w:p w:rsidR="6C0F4280" w:rsidP="6C0F4280" w:rsidRDefault="6C0F4280" w14:paraId="12D8246F" w14:textId="2791A962">
      <w:pPr>
        <w:pStyle w:val="Normal"/>
        <w:suppressLineNumbers w:val="0"/>
        <w:bidi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6C0F4280" w:rsidR="6C0F428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Costs include transportation, lodging, and subsistence, and incidental expenses for project staff and participants.  Consultant travel should be included under "Consultant Services."</w:t>
      </w:r>
    </w:p>
    <w:p w:rsidR="6C0F4280" w:rsidP="6C0F4280" w:rsidRDefault="6C0F4280" w14:paraId="4C989D69" w14:textId="71EF7EC1">
      <w:pPr>
        <w:pStyle w:val="Normal"/>
        <w:suppressLineNumbers w:val="0"/>
        <w:bidi w:val="0"/>
        <w:spacing w:before="0" w:beforeAutospacing="off" w:after="0" w:afterAutospacing="off" w:line="240" w:lineRule="auto"/>
        <w:ind w:left="720" w:right="0"/>
        <w:jc w:val="both"/>
        <w:rPr>
          <w:rFonts w:ascii="Calibri" w:hAnsi="Calibri" w:eastAsia="Calibri" w:cs="Calibri" w:asciiTheme="minorAscii" w:hAnsiTheme="minorAscii" w:eastAsiaTheme="minorAscii" w:cstheme="minorAscii"/>
          <w:b w:val="1"/>
          <w:bCs w:val="1"/>
          <w:sz w:val="24"/>
          <w:szCs w:val="24"/>
        </w:rPr>
      </w:pPr>
    </w:p>
    <w:p w:rsidR="590FAF40" w:rsidP="6C0F4280" w:rsidRDefault="590FAF40" w14:paraId="078F9AB1" w14:textId="6C523874">
      <w:pPr>
        <w:pStyle w:val="ListParagraph"/>
        <w:numPr>
          <w:ilvl w:val="0"/>
          <w:numId w:val="20"/>
        </w:numPr>
        <w:suppressLineNumbers w:val="0"/>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1"/>
          <w:bCs w:val="1"/>
          <w:sz w:val="24"/>
          <w:szCs w:val="24"/>
        </w:rPr>
      </w:pPr>
      <w:r w:rsidRPr="6C0F4280" w:rsidR="6C0F4280">
        <w:rPr>
          <w:rFonts w:ascii="Calibri" w:hAnsi="Calibri" w:eastAsia="Calibri" w:cs="Calibri" w:asciiTheme="minorAscii" w:hAnsiTheme="minorAscii" w:eastAsiaTheme="minorAscii" w:cstheme="minorAscii"/>
          <w:b w:val="1"/>
          <w:bCs w:val="1"/>
          <w:sz w:val="24"/>
          <w:szCs w:val="24"/>
        </w:rPr>
        <w:t xml:space="preserve">Other direct costs </w:t>
      </w:r>
    </w:p>
    <w:p w:rsidR="590FAF40" w:rsidP="6C0F4280" w:rsidRDefault="590FAF40" w14:paraId="5FDDFE95" w14:textId="24119DD0">
      <w:pPr>
        <w:suppressLineNumbers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0"/>
          <w:bCs w:val="0"/>
          <w:sz w:val="24"/>
          <w:szCs w:val="24"/>
        </w:rPr>
      </w:pPr>
      <w:r w:rsidRPr="5588D512" w:rsidR="5588D512">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Additional expenses should be included. For example, </w:t>
      </w:r>
      <w:r w:rsidRPr="5588D512" w:rsidR="5588D512">
        <w:rPr>
          <w:rFonts w:ascii="Calibri" w:hAnsi="Calibri" w:eastAsia="Calibri" w:cs="Calibri" w:asciiTheme="minorAscii" w:hAnsiTheme="minorAscii" w:eastAsiaTheme="minorAscii" w:cstheme="minorAscii"/>
          <w:b w:val="0"/>
          <w:bCs w:val="0"/>
          <w:sz w:val="24"/>
          <w:szCs w:val="24"/>
        </w:rPr>
        <w:t xml:space="preserve">substitute teacher fees. </w:t>
      </w:r>
    </w:p>
    <w:p w:rsidR="5588D512" w:rsidP="5588D512" w:rsidRDefault="5588D512" w14:paraId="53EAAD90" w14:textId="334AFB8A">
      <w:pPr>
        <w:suppressLineNumbers w:val="0"/>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0"/>
          <w:bCs w:val="0"/>
          <w:sz w:val="24"/>
          <w:szCs w:val="24"/>
        </w:rPr>
      </w:pPr>
    </w:p>
    <w:p w:rsidR="590FAF40" w:rsidP="6C0F4280" w:rsidRDefault="590FAF40" w14:paraId="2CB7739B" w14:textId="0FB7C235">
      <w:pPr>
        <w:pStyle w:val="ListParagraph"/>
        <w:numPr>
          <w:ilvl w:val="0"/>
          <w:numId w:val="21"/>
        </w:numPr>
        <w:suppressLineNumbers w:val="0"/>
        <w:bidi w:val="0"/>
        <w:spacing w:before="0" w:beforeAutospacing="off" w:after="0" w:afterAutospacing="off" w:line="240" w:lineRule="auto"/>
        <w:ind w:right="0"/>
        <w:jc w:val="both"/>
        <w:rPr>
          <w:rFonts w:ascii="Calibri" w:hAnsi="Calibri" w:eastAsia="Calibri" w:cs="Calibri" w:asciiTheme="minorAscii" w:hAnsiTheme="minorAscii" w:eastAsiaTheme="minorAscii" w:cstheme="minorAscii"/>
          <w:b w:val="0"/>
          <w:bCs w:val="0"/>
          <w:sz w:val="24"/>
          <w:szCs w:val="24"/>
        </w:rPr>
      </w:pPr>
      <w:r w:rsidRPr="6C0F4280" w:rsidR="6C0F4280">
        <w:rPr>
          <w:rFonts w:ascii="Calibri" w:hAnsi="Calibri" w:eastAsia="Calibri" w:cs="Calibri" w:asciiTheme="minorAscii" w:hAnsiTheme="minorAscii" w:eastAsiaTheme="minorAscii" w:cstheme="minorAscii"/>
          <w:b w:val="1"/>
          <w:bCs w:val="1"/>
          <w:sz w:val="24"/>
          <w:szCs w:val="24"/>
        </w:rPr>
        <w:t>Indirect costs</w:t>
      </w:r>
    </w:p>
    <w:p w:rsidR="6C0F4280" w:rsidP="0C6BE6CE" w:rsidRDefault="6C0F4280" w14:paraId="041A5323" w14:textId="4896DF12">
      <w:pPr>
        <w:spacing w:before="0" w:beforeAutospacing="off" w:after="0" w:afterAutospacing="off" w:line="240" w:lineRule="auto"/>
        <w:ind w:left="0" w:right="0"/>
        <w:jc w:val="both"/>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0C6BE6CE" w:rsidR="0C6BE6CE">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Note: Indirect costs are computed by applying the organization’s federally negotiated indirect cost rate to the project’s Modified Direct Costs (see </w:t>
      </w:r>
      <w:hyperlink r:id="R2f96a586222b490e">
        <w:r w:rsidRPr="0C6BE6CE" w:rsidR="0C6BE6CE">
          <w:rPr>
            <w:rStyle w:val="Hyperlink"/>
            <w:rFonts w:ascii="Calibri" w:hAnsi="Calibri" w:eastAsia="Calibri" w:cs="Calibri" w:asciiTheme="minorAscii" w:hAnsiTheme="minorAscii" w:eastAsiaTheme="minorAscii" w:cstheme="minorAscii"/>
            <w:b w:val="0"/>
            <w:bCs w:val="0"/>
            <w:i w:val="0"/>
            <w:iCs w:val="0"/>
            <w:strike w:val="0"/>
            <w:dstrike w:val="0"/>
            <w:sz w:val="24"/>
            <w:szCs w:val="24"/>
          </w:rPr>
          <w:t>2 CFR 200.414</w:t>
        </w:r>
      </w:hyperlink>
      <w:r w:rsidRPr="0C6BE6CE" w:rsidR="0C6BE6CE">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for indirect costs rules and </w:t>
      </w:r>
      <w:hyperlink r:id="R80ef6f880ec441d1">
        <w:r w:rsidRPr="0C6BE6CE" w:rsidR="0C6BE6CE">
          <w:rPr>
            <w:rStyle w:val="Hyperlink"/>
            <w:rFonts w:ascii="Calibri" w:hAnsi="Calibri" w:eastAsia="Calibri" w:cs="Calibri" w:asciiTheme="minorAscii" w:hAnsiTheme="minorAscii" w:eastAsiaTheme="minorAscii" w:cstheme="minorAscii"/>
            <w:b w:val="0"/>
            <w:bCs w:val="0"/>
            <w:i w:val="0"/>
            <w:iCs w:val="0"/>
            <w:strike w:val="0"/>
            <w:dstrike w:val="0"/>
            <w:sz w:val="24"/>
            <w:szCs w:val="24"/>
          </w:rPr>
          <w:t>2 CFR 200.1</w:t>
        </w:r>
      </w:hyperlink>
      <w:r w:rsidRPr="0C6BE6CE" w:rsidR="0C6BE6CE">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 xml:space="preserve"> for definitions of Modified Direct Costs and participant support costs) not to exceed 15%. If the organization does not have a negotiated rate, organizations may request up to 15%.</w:t>
      </w:r>
    </w:p>
    <w:p w:rsidR="6C0F4280" w:rsidP="6C0F4280" w:rsidRDefault="6C0F4280" w14:paraId="6596D4EA" w14:textId="4106F132">
      <w:pPr>
        <w:pStyle w:val="Normal"/>
        <w:ind w:left="0"/>
        <w:jc w:val="both"/>
        <w:rPr>
          <w:rFonts w:ascii="Calibri" w:hAnsi="Calibri" w:eastAsia="Calibri" w:cs="Calibri" w:asciiTheme="minorAscii" w:hAnsiTheme="minorAscii" w:eastAsiaTheme="minorAscii" w:cstheme="minorAscii"/>
          <w:b w:val="1"/>
          <w:bCs w:val="1"/>
          <w:sz w:val="24"/>
          <w:szCs w:val="24"/>
        </w:rPr>
      </w:pPr>
    </w:p>
    <w:p w:rsidR="6C0F4280" w:rsidP="6C0F4280" w:rsidRDefault="6C0F4280" w14:paraId="48CBDC0A" w14:textId="72A59EEA">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pPr>
      <w:r w:rsidRPr="6C0F4280" w:rsidR="6C0F4280">
        <w:rPr>
          <w:rFonts w:ascii="Calibri" w:hAnsi="Calibri" w:eastAsia="Calibri" w:cs="Calibri" w:asciiTheme="minorAscii" w:hAnsiTheme="minorAscii" w:eastAsiaTheme="minorAscii" w:cstheme="minorAscii"/>
          <w:b w:val="1"/>
          <w:bCs w:val="1"/>
          <w:i w:val="0"/>
          <w:iCs w:val="0"/>
          <w:strike w:val="0"/>
          <w:dstrike w:val="0"/>
          <w:color w:val="000000" w:themeColor="text1" w:themeTint="FF" w:themeShade="FF"/>
          <w:sz w:val="24"/>
          <w:szCs w:val="24"/>
          <w:u w:val="none"/>
        </w:rPr>
        <w:t xml:space="preserve">Total costs requested </w:t>
      </w:r>
      <w:r w:rsidRPr="6C0F4280" w:rsidR="6C0F4280">
        <w:rPr>
          <w:rFonts w:ascii="Calibri" w:hAnsi="Calibri" w:eastAsia="Calibri" w:cs="Calibri" w:asciiTheme="minorAscii" w:hAnsiTheme="minorAscii" w:eastAsiaTheme="minorAscii" w:cstheme="minorAscii"/>
          <w:b w:val="0"/>
          <w:bCs w:val="0"/>
          <w:i w:val="0"/>
          <w:iCs w:val="0"/>
          <w:strike w:val="0"/>
          <w:dstrike w:val="0"/>
          <w:color w:val="000000" w:themeColor="text1" w:themeTint="FF" w:themeShade="FF"/>
          <w:sz w:val="24"/>
          <w:szCs w:val="24"/>
          <w:u w:val="none"/>
        </w:rPr>
        <w:t>(includes direct and indirect costs, if applicable)</w:t>
      </w:r>
    </w:p>
    <w:p w:rsidR="6C0F4280" w:rsidP="6C0F4280" w:rsidRDefault="6C0F4280" w14:paraId="6FFC0A14" w14:textId="35F90BEB">
      <w:pPr>
        <w:pStyle w:val="Normal"/>
        <w:ind w:left="0"/>
        <w:jc w:val="both"/>
        <w:rPr>
          <w:rFonts w:ascii="Calibri" w:hAnsi="Calibri" w:eastAsia="Calibri" w:cs="Calibri" w:asciiTheme="minorAscii" w:hAnsiTheme="minorAscii" w:eastAsiaTheme="minorAscii" w:cstheme="minorAscii"/>
          <w:b w:val="1"/>
          <w:bCs w:val="1"/>
          <w:sz w:val="24"/>
          <w:szCs w:val="24"/>
        </w:rPr>
      </w:pPr>
    </w:p>
    <w:sectPr w:rsidRPr="00730766" w:rsidR="009138B3" w:rsidSect="00F9399E">
      <w:headerReference w:type="default" r:id="rId15"/>
      <w:footerReference w:type="default" r:id="rId16"/>
      <w:pgSz w:w="12240" w:h="15840" w:orient="portrait"/>
      <w:pgMar w:top="36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0151" w:rsidP="006D351F" w:rsidRDefault="00B30151" w14:paraId="013E6904" w14:textId="77777777">
      <w:r>
        <w:separator/>
      </w:r>
    </w:p>
  </w:endnote>
  <w:endnote w:type="continuationSeparator" w:id="0">
    <w:p w:rsidR="00B30151" w:rsidP="006D351F" w:rsidRDefault="00B30151" w14:paraId="4C3FEFB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730766" w:rsidR="00730766" w:rsidP="004239CC" w:rsidRDefault="004239CC" w14:paraId="300D3BEC" w14:textId="315F2092">
    <w:pPr>
      <w:pStyle w:val="Footer"/>
      <w:jc w:val="center"/>
      <w:rPr>
        <w:rFonts w:asciiTheme="minorHAnsi" w:hAnsiTheme="minorHAnsi" w:cstheme="minorHAnsi"/>
        <w:i/>
        <w:sz w:val="22"/>
        <w:szCs w:val="22"/>
      </w:rPr>
    </w:pPr>
    <w:r w:rsidRPr="00730766">
      <w:rPr>
        <w:rFonts w:asciiTheme="minorHAnsi" w:hAnsiTheme="minorHAnsi" w:cstheme="minorHAnsi"/>
        <w:i/>
        <w:sz w:val="22"/>
        <w:szCs w:val="22"/>
      </w:rPr>
      <w:t xml:space="preserve">Questions? Email the </w:t>
    </w:r>
    <w:r w:rsidRPr="00730766" w:rsidR="00C24B51">
      <w:rPr>
        <w:rFonts w:asciiTheme="minorHAnsi" w:hAnsiTheme="minorHAnsi" w:cstheme="minorHAnsi"/>
        <w:i/>
        <w:sz w:val="22"/>
        <w:szCs w:val="22"/>
      </w:rPr>
      <w:t>TPS</w:t>
    </w:r>
    <w:r w:rsidRPr="00730766">
      <w:rPr>
        <w:rFonts w:asciiTheme="minorHAnsi" w:hAnsiTheme="minorHAnsi" w:cstheme="minorHAnsi"/>
        <w:i/>
        <w:sz w:val="22"/>
        <w:szCs w:val="22"/>
      </w:rPr>
      <w:t xml:space="preserve"> </w:t>
    </w:r>
    <w:r w:rsidRPr="00730766" w:rsidR="00C24B51">
      <w:rPr>
        <w:rFonts w:asciiTheme="minorHAnsi" w:hAnsiTheme="minorHAnsi" w:cstheme="minorHAnsi"/>
        <w:i/>
        <w:sz w:val="22"/>
        <w:szCs w:val="22"/>
      </w:rPr>
      <w:t>P</w:t>
    </w:r>
    <w:r w:rsidRPr="00730766">
      <w:rPr>
        <w:rFonts w:asciiTheme="minorHAnsi" w:hAnsiTheme="minorHAnsi" w:cstheme="minorHAnsi"/>
        <w:i/>
        <w:sz w:val="22"/>
        <w:szCs w:val="22"/>
      </w:rPr>
      <w:t xml:space="preserve">rogram: </w:t>
    </w:r>
    <w:hyperlink w:history="1" r:id="rId1">
      <w:r w:rsidRPr="00730766" w:rsidR="00C24B51">
        <w:rPr>
          <w:rStyle w:val="Hyperlink"/>
          <w:rFonts w:asciiTheme="minorHAnsi" w:hAnsiTheme="minorHAnsi" w:cstheme="minorHAnsi"/>
          <w:i/>
          <w:sz w:val="22"/>
          <w:szCs w:val="22"/>
        </w:rPr>
        <w:t>tps-grant@loc.gov</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0151" w:rsidP="006D351F" w:rsidRDefault="00B30151" w14:paraId="277E798A" w14:textId="77777777">
      <w:r>
        <w:separator/>
      </w:r>
    </w:p>
  </w:footnote>
  <w:footnote w:type="continuationSeparator" w:id="0">
    <w:p w:rsidR="00B30151" w:rsidP="006D351F" w:rsidRDefault="00B30151" w14:paraId="14F8C89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239CC" w:rsidP="004239CC" w:rsidRDefault="004239CC" w14:paraId="1CDDB246" w14:textId="6F4505CA">
    <w:pPr>
      <w:pStyle w:val="Header"/>
      <w:jc w:val="center"/>
    </w:pPr>
  </w:p>
  <w:p w:rsidR="004239CC" w:rsidP="004239CC" w:rsidRDefault="00000000" w14:paraId="000CF715" w14:textId="77777777">
    <w:pPr>
      <w:pStyle w:val="Header"/>
      <w:jc w:val="center"/>
    </w:pPr>
    <w:r>
      <w:pict w14:anchorId="04BFF47A">
        <v:rect id="_x0000_i1025" style="width:0;height:1.5pt" o:hr="t" o:hrstd="t" o:hralign="center"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0">
    <w:nsid w:val="11d2b5db"/>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9">
    <w:nsid w:val="25bd5aae"/>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8">
    <w:nsid w:val="72e8742c"/>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7">
    <w:nsid w:val="6a5a7978"/>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6">
    <w:nsid w:val="241da61d"/>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5">
    <w:nsid w:val="37b2a27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4">
    <w:nsid w:val="4d286fbf"/>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3">
    <w:nsid w:val="4753c081"/>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2">
    <w:nsid w:val="19ae2c1a"/>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o"/>
      <w:lvlJc w:val="left"/>
      <w:pPr>
        <w:ind w:left="1080" w:hanging="360"/>
      </w:pPr>
      <w:rPr>
        <w:rFonts w:hint="default" w:ascii="Courier New" w:hAnsi="Courier New"/>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xmlns:w="http://schemas.openxmlformats.org/wordprocessingml/2006/main" w:abstractNumId="11">
    <w:nsid w:val="5b62ce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e6f16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BF1C8A"/>
    <w:multiLevelType w:val="hybridMultilevel"/>
    <w:tmpl w:val="DB04B89E"/>
    <w:lvl w:ilvl="0" w:tplc="058AEC4C">
      <w:start w:val="1"/>
      <w:numFmt w:val="lowerLetter"/>
      <w:lvlText w:val="%1."/>
      <w:lvlJc w:val="left"/>
      <w:pPr>
        <w:ind w:left="1800" w:hanging="360"/>
      </w:pPr>
      <w:rPr>
        <w:rFonts w:hint="default"/>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9506C71"/>
    <w:multiLevelType w:val="hybridMultilevel"/>
    <w:tmpl w:val="C29EC63C"/>
    <w:lvl w:ilvl="0" w:tplc="04090003">
      <w:start w:val="1"/>
      <w:numFmt w:val="bullet"/>
      <w:lvlText w:val="o"/>
      <w:lvlJc w:val="left"/>
      <w:pPr>
        <w:ind w:left="810" w:hanging="360"/>
      </w:pPr>
      <w:rPr>
        <w:rFonts w:hint="default" w:ascii="Courier New" w:hAnsi="Courier New" w:cs="Courier New"/>
        <w:color w:val="auto"/>
      </w:rPr>
    </w:lvl>
    <w:lvl w:ilvl="1" w:tplc="04090003">
      <w:start w:val="1"/>
      <w:numFmt w:val="bullet"/>
      <w:lvlText w:val="o"/>
      <w:lvlJc w:val="left"/>
      <w:pPr>
        <w:ind w:left="1530" w:hanging="360"/>
      </w:pPr>
      <w:rPr>
        <w:rFonts w:hint="default" w:ascii="Courier New" w:hAnsi="Courier New" w:cs="Courier New"/>
      </w:rPr>
    </w:lvl>
    <w:lvl w:ilvl="2" w:tplc="04090005" w:tentative="1">
      <w:start w:val="1"/>
      <w:numFmt w:val="bullet"/>
      <w:lvlText w:val=""/>
      <w:lvlJc w:val="left"/>
      <w:pPr>
        <w:ind w:left="2250" w:hanging="360"/>
      </w:pPr>
      <w:rPr>
        <w:rFonts w:hint="default" w:ascii="Wingdings" w:hAnsi="Wingdings"/>
      </w:rPr>
    </w:lvl>
    <w:lvl w:ilvl="3" w:tplc="04090001" w:tentative="1">
      <w:start w:val="1"/>
      <w:numFmt w:val="bullet"/>
      <w:lvlText w:val=""/>
      <w:lvlJc w:val="left"/>
      <w:pPr>
        <w:ind w:left="2970" w:hanging="360"/>
      </w:pPr>
      <w:rPr>
        <w:rFonts w:hint="default" w:ascii="Symbol" w:hAnsi="Symbol"/>
      </w:rPr>
    </w:lvl>
    <w:lvl w:ilvl="4" w:tplc="04090003" w:tentative="1">
      <w:start w:val="1"/>
      <w:numFmt w:val="bullet"/>
      <w:lvlText w:val="o"/>
      <w:lvlJc w:val="left"/>
      <w:pPr>
        <w:ind w:left="3690" w:hanging="360"/>
      </w:pPr>
      <w:rPr>
        <w:rFonts w:hint="default" w:ascii="Courier New" w:hAnsi="Courier New" w:cs="Courier New"/>
      </w:rPr>
    </w:lvl>
    <w:lvl w:ilvl="5" w:tplc="04090005" w:tentative="1">
      <w:start w:val="1"/>
      <w:numFmt w:val="bullet"/>
      <w:lvlText w:val=""/>
      <w:lvlJc w:val="left"/>
      <w:pPr>
        <w:ind w:left="4410" w:hanging="360"/>
      </w:pPr>
      <w:rPr>
        <w:rFonts w:hint="default" w:ascii="Wingdings" w:hAnsi="Wingdings"/>
      </w:rPr>
    </w:lvl>
    <w:lvl w:ilvl="6" w:tplc="04090001" w:tentative="1">
      <w:start w:val="1"/>
      <w:numFmt w:val="bullet"/>
      <w:lvlText w:val=""/>
      <w:lvlJc w:val="left"/>
      <w:pPr>
        <w:ind w:left="5130" w:hanging="360"/>
      </w:pPr>
      <w:rPr>
        <w:rFonts w:hint="default" w:ascii="Symbol" w:hAnsi="Symbol"/>
      </w:rPr>
    </w:lvl>
    <w:lvl w:ilvl="7" w:tplc="04090003" w:tentative="1">
      <w:start w:val="1"/>
      <w:numFmt w:val="bullet"/>
      <w:lvlText w:val="o"/>
      <w:lvlJc w:val="left"/>
      <w:pPr>
        <w:ind w:left="5850" w:hanging="360"/>
      </w:pPr>
      <w:rPr>
        <w:rFonts w:hint="default" w:ascii="Courier New" w:hAnsi="Courier New" w:cs="Courier New"/>
      </w:rPr>
    </w:lvl>
    <w:lvl w:ilvl="8" w:tplc="04090005" w:tentative="1">
      <w:start w:val="1"/>
      <w:numFmt w:val="bullet"/>
      <w:lvlText w:val=""/>
      <w:lvlJc w:val="left"/>
      <w:pPr>
        <w:ind w:left="6570" w:hanging="360"/>
      </w:pPr>
      <w:rPr>
        <w:rFonts w:hint="default" w:ascii="Wingdings" w:hAnsi="Wingdings"/>
      </w:rPr>
    </w:lvl>
  </w:abstractNum>
  <w:abstractNum w:abstractNumId="2" w15:restartNumberingAfterBreak="0">
    <w:nsid w:val="366C1A9F"/>
    <w:multiLevelType w:val="hybridMultilevel"/>
    <w:tmpl w:val="E2CC3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3F446A"/>
    <w:multiLevelType w:val="hybridMultilevel"/>
    <w:tmpl w:val="0EA8B01C"/>
    <w:lvl w:ilvl="0" w:tplc="7FC2C2EA">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67043BD"/>
    <w:multiLevelType w:val="hybridMultilevel"/>
    <w:tmpl w:val="090088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F526BC"/>
    <w:multiLevelType w:val="hybridMultilevel"/>
    <w:tmpl w:val="40B24FF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4B4B40"/>
    <w:multiLevelType w:val="hybridMultilevel"/>
    <w:tmpl w:val="26747D3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5A06C51"/>
    <w:multiLevelType w:val="hybridMultilevel"/>
    <w:tmpl w:val="9F62DD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7A45776"/>
    <w:multiLevelType w:val="hybridMultilevel"/>
    <w:tmpl w:val="3D369C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E9A4040"/>
    <w:multiLevelType w:val="hybridMultilevel"/>
    <w:tmpl w:val="3146C38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 w16cid:durableId="1079136773">
    <w:abstractNumId w:val="0"/>
  </w:num>
  <w:num w:numId="2" w16cid:durableId="1136605669">
    <w:abstractNumId w:val="3"/>
  </w:num>
  <w:num w:numId="3" w16cid:durableId="1982037659">
    <w:abstractNumId w:val="1"/>
  </w:num>
  <w:num w:numId="4" w16cid:durableId="658659899">
    <w:abstractNumId w:val="6"/>
  </w:num>
  <w:num w:numId="5" w16cid:durableId="254214219">
    <w:abstractNumId w:val="7"/>
  </w:num>
  <w:num w:numId="6" w16cid:durableId="167061712">
    <w:abstractNumId w:val="8"/>
  </w:num>
  <w:num w:numId="7" w16cid:durableId="616983798">
    <w:abstractNumId w:val="2"/>
  </w:num>
  <w:num w:numId="8" w16cid:durableId="1242104792">
    <w:abstractNumId w:val="9"/>
  </w:num>
  <w:num w:numId="9" w16cid:durableId="387147042">
    <w:abstractNumId w:val="5"/>
  </w:num>
  <w:num w:numId="10" w16cid:durableId="673413371">
    <w:abstractNumId w:val="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51F"/>
    <w:rsid w:val="00013B87"/>
    <w:rsid w:val="00030482"/>
    <w:rsid w:val="00067DF9"/>
    <w:rsid w:val="00086868"/>
    <w:rsid w:val="000F030F"/>
    <w:rsid w:val="000F0F74"/>
    <w:rsid w:val="00131752"/>
    <w:rsid w:val="00145338"/>
    <w:rsid w:val="00157735"/>
    <w:rsid w:val="00197A6A"/>
    <w:rsid w:val="001A2E1D"/>
    <w:rsid w:val="001C2722"/>
    <w:rsid w:val="002703A8"/>
    <w:rsid w:val="002E07DD"/>
    <w:rsid w:val="00306ACE"/>
    <w:rsid w:val="00311279"/>
    <w:rsid w:val="003B5E21"/>
    <w:rsid w:val="00410B6E"/>
    <w:rsid w:val="004230E2"/>
    <w:rsid w:val="004239CC"/>
    <w:rsid w:val="004261FB"/>
    <w:rsid w:val="00446E50"/>
    <w:rsid w:val="004850A8"/>
    <w:rsid w:val="004A5428"/>
    <w:rsid w:val="004C6979"/>
    <w:rsid w:val="004D431B"/>
    <w:rsid w:val="004E1440"/>
    <w:rsid w:val="004E5995"/>
    <w:rsid w:val="005102D3"/>
    <w:rsid w:val="00525170"/>
    <w:rsid w:val="005478FA"/>
    <w:rsid w:val="00630CC5"/>
    <w:rsid w:val="00661E0F"/>
    <w:rsid w:val="00673E46"/>
    <w:rsid w:val="006845B0"/>
    <w:rsid w:val="006957FF"/>
    <w:rsid w:val="006A3B8B"/>
    <w:rsid w:val="006D351F"/>
    <w:rsid w:val="00713084"/>
    <w:rsid w:val="00722E7B"/>
    <w:rsid w:val="00730766"/>
    <w:rsid w:val="00777547"/>
    <w:rsid w:val="008114F6"/>
    <w:rsid w:val="00834E2B"/>
    <w:rsid w:val="0083701A"/>
    <w:rsid w:val="008F36FA"/>
    <w:rsid w:val="008F7C34"/>
    <w:rsid w:val="00907D03"/>
    <w:rsid w:val="009138B3"/>
    <w:rsid w:val="009374C7"/>
    <w:rsid w:val="00956C2B"/>
    <w:rsid w:val="00985D4E"/>
    <w:rsid w:val="009B291A"/>
    <w:rsid w:val="009C68AE"/>
    <w:rsid w:val="009E6E9E"/>
    <w:rsid w:val="009F3AD9"/>
    <w:rsid w:val="00A12AC5"/>
    <w:rsid w:val="00A432DA"/>
    <w:rsid w:val="00A61BB9"/>
    <w:rsid w:val="00A83014"/>
    <w:rsid w:val="00A92E35"/>
    <w:rsid w:val="00AE1FB3"/>
    <w:rsid w:val="00B30151"/>
    <w:rsid w:val="00B74E35"/>
    <w:rsid w:val="00B810C1"/>
    <w:rsid w:val="00BC3905"/>
    <w:rsid w:val="00C24B51"/>
    <w:rsid w:val="00C24CC0"/>
    <w:rsid w:val="00C90673"/>
    <w:rsid w:val="00CE7E30"/>
    <w:rsid w:val="00CF19A9"/>
    <w:rsid w:val="00D26DB7"/>
    <w:rsid w:val="00D64ECE"/>
    <w:rsid w:val="00D71128"/>
    <w:rsid w:val="00D90860"/>
    <w:rsid w:val="00DB6E91"/>
    <w:rsid w:val="00DD5A1B"/>
    <w:rsid w:val="00E21A93"/>
    <w:rsid w:val="00E64C12"/>
    <w:rsid w:val="00E812FA"/>
    <w:rsid w:val="00EB276E"/>
    <w:rsid w:val="00EC5652"/>
    <w:rsid w:val="00F034F1"/>
    <w:rsid w:val="00F14CF1"/>
    <w:rsid w:val="00F303FF"/>
    <w:rsid w:val="00F64B0C"/>
    <w:rsid w:val="00F6751D"/>
    <w:rsid w:val="00FB4B0A"/>
    <w:rsid w:val="00FE7B14"/>
    <w:rsid w:val="00FF6408"/>
    <w:rsid w:val="0C6BE6CE"/>
    <w:rsid w:val="12404DED"/>
    <w:rsid w:val="2C6A1E52"/>
    <w:rsid w:val="3D9562DD"/>
    <w:rsid w:val="5588D512"/>
    <w:rsid w:val="58171913"/>
    <w:rsid w:val="590FAF40"/>
    <w:rsid w:val="6C0F4280"/>
    <w:rsid w:val="6EFBB204"/>
    <w:rsid w:val="72AD226C"/>
    <w:rsid w:val="7A46A66C"/>
    <w:rsid w:val="7FC50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34B99"/>
  <w15:docId w15:val="{5589344C-7559-4C23-A1FC-B731DBF8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46E50"/>
    <w:pPr>
      <w:spacing w:after="0" w:line="240" w:lineRule="auto"/>
    </w:pPr>
    <w:rPr>
      <w:rFonts w:ascii="Times New Roman" w:hAnsi="Times New Roman" w:eastAsia="Times New Roman" w:cs="Times New Roman"/>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6D351F"/>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er">
    <w:name w:val="footer"/>
    <w:basedOn w:val="Normal"/>
    <w:link w:val="FooterChar"/>
    <w:rsid w:val="006D351F"/>
    <w:pPr>
      <w:tabs>
        <w:tab w:val="center" w:pos="4320"/>
        <w:tab w:val="right" w:pos="8640"/>
      </w:tabs>
    </w:pPr>
  </w:style>
  <w:style w:type="character" w:styleId="FooterChar" w:customStyle="1">
    <w:name w:val="Footer Char"/>
    <w:basedOn w:val="DefaultParagraphFont"/>
    <w:link w:val="Footer"/>
    <w:rsid w:val="006D351F"/>
    <w:rPr>
      <w:rFonts w:ascii="Times New Roman" w:hAnsi="Times New Roman" w:eastAsia="Times New Roman" w:cs="Times New Roman"/>
      <w:sz w:val="24"/>
      <w:szCs w:val="24"/>
    </w:rPr>
  </w:style>
  <w:style w:type="character" w:styleId="PageNumber">
    <w:name w:val="page number"/>
    <w:basedOn w:val="DefaultParagraphFont"/>
    <w:rsid w:val="006D351F"/>
  </w:style>
  <w:style w:type="character" w:styleId="PlaceholderText">
    <w:name w:val="Placeholder Text"/>
    <w:basedOn w:val="DefaultParagraphFont"/>
    <w:uiPriority w:val="99"/>
    <w:semiHidden/>
    <w:rsid w:val="006D351F"/>
    <w:rPr>
      <w:color w:val="808080"/>
    </w:rPr>
  </w:style>
  <w:style w:type="paragraph" w:styleId="BalloonText">
    <w:name w:val="Balloon Text"/>
    <w:basedOn w:val="Normal"/>
    <w:link w:val="BalloonTextChar"/>
    <w:uiPriority w:val="99"/>
    <w:semiHidden/>
    <w:unhideWhenUsed/>
    <w:rsid w:val="006D351F"/>
    <w:rPr>
      <w:rFonts w:ascii="Tahoma" w:hAnsi="Tahoma" w:cs="Tahoma"/>
      <w:sz w:val="16"/>
      <w:szCs w:val="16"/>
    </w:rPr>
  </w:style>
  <w:style w:type="character" w:styleId="BalloonTextChar" w:customStyle="1">
    <w:name w:val="Balloon Text Char"/>
    <w:basedOn w:val="DefaultParagraphFont"/>
    <w:link w:val="BalloonText"/>
    <w:uiPriority w:val="99"/>
    <w:semiHidden/>
    <w:rsid w:val="006D351F"/>
    <w:rPr>
      <w:rFonts w:ascii="Tahoma" w:hAnsi="Tahoma" w:eastAsia="Times New Roman" w:cs="Tahoma"/>
      <w:sz w:val="16"/>
      <w:szCs w:val="16"/>
    </w:rPr>
  </w:style>
  <w:style w:type="paragraph" w:styleId="Header">
    <w:name w:val="header"/>
    <w:basedOn w:val="Normal"/>
    <w:link w:val="HeaderChar"/>
    <w:uiPriority w:val="99"/>
    <w:unhideWhenUsed/>
    <w:rsid w:val="006D351F"/>
    <w:pPr>
      <w:tabs>
        <w:tab w:val="center" w:pos="4680"/>
        <w:tab w:val="right" w:pos="9360"/>
      </w:tabs>
    </w:pPr>
  </w:style>
  <w:style w:type="character" w:styleId="HeaderChar" w:customStyle="1">
    <w:name w:val="Header Char"/>
    <w:basedOn w:val="DefaultParagraphFont"/>
    <w:link w:val="Header"/>
    <w:uiPriority w:val="99"/>
    <w:rsid w:val="006D351F"/>
    <w:rPr>
      <w:rFonts w:ascii="Times New Roman" w:hAnsi="Times New Roman" w:eastAsia="Times New Roman" w:cs="Times New Roman"/>
      <w:sz w:val="24"/>
      <w:szCs w:val="24"/>
    </w:rPr>
  </w:style>
  <w:style w:type="paragraph" w:styleId="ListParagraph">
    <w:name w:val="List Paragraph"/>
    <w:basedOn w:val="Normal"/>
    <w:uiPriority w:val="34"/>
    <w:qFormat/>
    <w:rsid w:val="00410B6E"/>
    <w:pPr>
      <w:ind w:left="720"/>
      <w:contextualSpacing/>
    </w:pPr>
  </w:style>
  <w:style w:type="character" w:styleId="Hyperlink">
    <w:name w:val="Hyperlink"/>
    <w:basedOn w:val="DefaultParagraphFont"/>
    <w:uiPriority w:val="99"/>
    <w:unhideWhenUsed/>
    <w:rsid w:val="004239CC"/>
    <w:rPr>
      <w:color w:val="0000FF" w:themeColor="hyperlink"/>
      <w:u w:val="single"/>
    </w:rPr>
  </w:style>
  <w:style w:type="character" w:styleId="CommentReference">
    <w:name w:val="annotation reference"/>
    <w:basedOn w:val="DefaultParagraphFont"/>
    <w:uiPriority w:val="99"/>
    <w:semiHidden/>
    <w:unhideWhenUsed/>
    <w:rsid w:val="004239CC"/>
    <w:rPr>
      <w:sz w:val="16"/>
      <w:szCs w:val="16"/>
    </w:rPr>
  </w:style>
  <w:style w:type="paragraph" w:styleId="CommentText">
    <w:name w:val="annotation text"/>
    <w:basedOn w:val="Normal"/>
    <w:link w:val="CommentTextChar"/>
    <w:uiPriority w:val="99"/>
    <w:unhideWhenUsed/>
    <w:rsid w:val="004239CC"/>
    <w:rPr>
      <w:sz w:val="20"/>
      <w:szCs w:val="20"/>
    </w:rPr>
  </w:style>
  <w:style w:type="character" w:styleId="CommentTextChar" w:customStyle="1">
    <w:name w:val="Comment Text Char"/>
    <w:basedOn w:val="DefaultParagraphFont"/>
    <w:link w:val="CommentText"/>
    <w:uiPriority w:val="99"/>
    <w:rsid w:val="004239CC"/>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239CC"/>
    <w:rPr>
      <w:b/>
      <w:bCs/>
    </w:rPr>
  </w:style>
  <w:style w:type="character" w:styleId="CommentSubjectChar" w:customStyle="1">
    <w:name w:val="Comment Subject Char"/>
    <w:basedOn w:val="CommentTextChar"/>
    <w:link w:val="CommentSubject"/>
    <w:uiPriority w:val="99"/>
    <w:semiHidden/>
    <w:rsid w:val="004239CC"/>
    <w:rPr>
      <w:rFonts w:ascii="Times New Roman" w:hAnsi="Times New Roman" w:eastAsia="Times New Roman" w:cs="Times New Roman"/>
      <w:b/>
      <w:bCs/>
      <w:sz w:val="20"/>
      <w:szCs w:val="20"/>
    </w:rPr>
  </w:style>
  <w:style w:type="character" w:styleId="UnresolvedMention">
    <w:name w:val="Unresolved Mention"/>
    <w:basedOn w:val="DefaultParagraphFont"/>
    <w:uiPriority w:val="99"/>
    <w:semiHidden/>
    <w:unhideWhenUsed/>
    <w:rsid w:val="00C24B51"/>
    <w:rPr>
      <w:color w:val="605E5C"/>
      <w:shd w:val="clear" w:color="auto" w:fill="E1DFDD"/>
    </w:rPr>
  </w:style>
  <w:style w:type="paragraph" w:styleId="Revision">
    <w:name w:val="Revision"/>
    <w:hidden/>
    <w:uiPriority w:val="99"/>
    <w:semiHidden/>
    <w:rsid w:val="009F3AD9"/>
    <w:pPr>
      <w:spacing w:after="0" w:line="240" w:lineRule="auto"/>
    </w:pPr>
    <w:rPr>
      <w:rFonts w:ascii="Times New Roman" w:hAnsi="Times New Roman" w:eastAsia="Times New Roman" w:cs="Times New Roman"/>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microsoft.com/office/2011/relationships/people" Target="people.xml" Id="rId18" /><Relationship Type="http://schemas.openxmlformats.org/officeDocument/2006/relationships/settings" Target="settings.xml" Id="rId3"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header" Target="header1.xml" Id="rId15" /><Relationship Type="http://schemas.microsoft.com/office/2016/09/relationships/commentsIds" Target="commentsIds.xml" Id="rId10" /><Relationship Type="http://schemas.openxmlformats.org/officeDocument/2006/relationships/theme" Target="theme/theme1.xml" Id="rId19" /><Relationship Type="http://schemas.openxmlformats.org/officeDocument/2006/relationships/webSettings" Target="webSettings.xml" Id="rId4" /><Relationship Type="http://schemas.microsoft.com/office/2011/relationships/commentsExtended" Target="commentsExtended.xml" Id="rId9" /><Relationship Type="http://schemas.openxmlformats.org/officeDocument/2006/relationships/hyperlink" Target="https://www.ecfr.gov/current/title-2/subtitle-A/chapter-II/part-200/subpart-E/subject-group-ECFRd93f2a98b1f6455/section-200.414" TargetMode="External" Id="R2f96a586222b490e" /><Relationship Type="http://schemas.openxmlformats.org/officeDocument/2006/relationships/hyperlink" Target="https://www.ecfr.gov/current/title-2/subtitle-A/chapter-II/part-200/subpart-A/subject-group-ECFR2a6a0087862fd2c/section-200.1" TargetMode="External" Id="R80ef6f880ec441d1" /></Relationships>
</file>

<file path=word/_rels/footer1.xml.rels><?xml version="1.0" encoding="UTF-8" standalone="yes"?>
<Relationships xmlns="http://schemas.openxmlformats.org/package/2006/relationships"><Relationship Id="rId1" Type="http://schemas.openxmlformats.org/officeDocument/2006/relationships/hyperlink" Target="mailto:tps-grant@l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Library Of Congress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Phoebe Coleman</dc:creator>
  <lastModifiedBy>Brendan Gillis</lastModifiedBy>
  <revision>16</revision>
  <lastPrinted>2017-03-15T18:40:00.0000000Z</lastPrinted>
  <dcterms:created xsi:type="dcterms:W3CDTF">2025-04-02T19:40:00.0000000Z</dcterms:created>
  <dcterms:modified xsi:type="dcterms:W3CDTF">2025-04-09T17:52:40.2287675Z</dcterms:modified>
</coreProperties>
</file>